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4558" w14:textId="77777777" w:rsidR="00EA1424" w:rsidRPr="00EA1424" w:rsidRDefault="00EA1424" w:rsidP="00EA1424">
      <w:pPr>
        <w:kinsoku w:val="0"/>
        <w:overflowPunct w:val="0"/>
        <w:autoSpaceDE w:val="0"/>
        <w:autoSpaceDN w:val="0"/>
        <w:adjustRightInd w:val="0"/>
        <w:spacing w:line="266" w:lineRule="exact"/>
        <w:ind w:left="39"/>
        <w:rPr>
          <w:b/>
          <w:bCs/>
          <w:color w:val="0073CF"/>
          <w:sz w:val="24"/>
          <w:szCs w:val="24"/>
        </w:rPr>
      </w:pPr>
      <w:r w:rsidRPr="00EA1424">
        <w:rPr>
          <w:b/>
          <w:bCs/>
          <w:color w:val="0073CF"/>
          <w:sz w:val="24"/>
          <w:szCs w:val="24"/>
        </w:rPr>
        <w:t>TRAINING REQUIREMENTS FOR FINANCIAL CONFLICTS OF INTEREST (FCOI) IN</w:t>
      </w:r>
    </w:p>
    <w:p w14:paraId="73FC127D" w14:textId="77777777" w:rsidR="00EA1424" w:rsidRPr="00EA1424" w:rsidRDefault="00EA1424" w:rsidP="00EA1424">
      <w:pPr>
        <w:kinsoku w:val="0"/>
        <w:overflowPunct w:val="0"/>
        <w:autoSpaceDE w:val="0"/>
        <w:autoSpaceDN w:val="0"/>
        <w:adjustRightInd w:val="0"/>
        <w:spacing w:line="266" w:lineRule="exact"/>
        <w:ind w:left="39"/>
        <w:rPr>
          <w:b/>
          <w:bCs/>
          <w:color w:val="0073CF"/>
          <w:sz w:val="24"/>
          <w:szCs w:val="24"/>
        </w:rPr>
      </w:pPr>
      <w:r w:rsidRPr="00EA1424">
        <w:rPr>
          <w:b/>
          <w:bCs/>
          <w:color w:val="0073CF"/>
          <w:sz w:val="24"/>
          <w:szCs w:val="24"/>
        </w:rPr>
        <w:t>PUBLIC HEALTH SERVICE (PHS) FUNDED RESEARCH</w:t>
      </w:r>
    </w:p>
    <w:p w14:paraId="77D8829F" w14:textId="77777777" w:rsidR="00EA1424" w:rsidRDefault="00EA1424" w:rsidP="00EA1424">
      <w:pPr>
        <w:kinsoku w:val="0"/>
        <w:overflowPunct w:val="0"/>
        <w:autoSpaceDE w:val="0"/>
        <w:autoSpaceDN w:val="0"/>
        <w:adjustRightInd w:val="0"/>
        <w:ind w:left="100" w:right="390"/>
        <w:rPr>
          <w:sz w:val="20"/>
          <w:szCs w:val="20"/>
        </w:rPr>
      </w:pPr>
    </w:p>
    <w:p w14:paraId="55F5211F" w14:textId="77777777" w:rsidR="00EA1424" w:rsidRDefault="00EA1424" w:rsidP="00EA1424">
      <w:pPr>
        <w:kinsoku w:val="0"/>
        <w:overflowPunct w:val="0"/>
        <w:autoSpaceDE w:val="0"/>
        <w:autoSpaceDN w:val="0"/>
        <w:adjustRightInd w:val="0"/>
        <w:ind w:left="100" w:right="390"/>
        <w:rPr>
          <w:sz w:val="20"/>
          <w:szCs w:val="20"/>
        </w:rPr>
      </w:pPr>
      <w:r w:rsidRPr="00EA1424">
        <w:rPr>
          <w:sz w:val="20"/>
          <w:szCs w:val="20"/>
        </w:rPr>
        <w:t xml:space="preserve">Battelle must meet regulatory requirements to identify and report FCOI in PHS funded research. </w:t>
      </w:r>
    </w:p>
    <w:p w14:paraId="21728817" w14:textId="77777777" w:rsidR="00EA1424" w:rsidRDefault="00EA1424" w:rsidP="00EA1424">
      <w:pPr>
        <w:kinsoku w:val="0"/>
        <w:overflowPunct w:val="0"/>
        <w:autoSpaceDE w:val="0"/>
        <w:autoSpaceDN w:val="0"/>
        <w:adjustRightInd w:val="0"/>
        <w:ind w:left="100" w:right="390"/>
        <w:rPr>
          <w:sz w:val="20"/>
          <w:szCs w:val="20"/>
        </w:rPr>
      </w:pPr>
    </w:p>
    <w:p w14:paraId="21F3727D" w14:textId="4AE357AE" w:rsidR="00EA1424" w:rsidRDefault="00EA1424" w:rsidP="00EA1424">
      <w:pPr>
        <w:kinsoku w:val="0"/>
        <w:overflowPunct w:val="0"/>
        <w:autoSpaceDE w:val="0"/>
        <w:autoSpaceDN w:val="0"/>
        <w:adjustRightInd w:val="0"/>
        <w:ind w:left="100" w:right="390"/>
        <w:rPr>
          <w:sz w:val="20"/>
          <w:szCs w:val="20"/>
        </w:rPr>
      </w:pPr>
      <w:r w:rsidRPr="00EA1424">
        <w:rPr>
          <w:sz w:val="20"/>
          <w:szCs w:val="20"/>
        </w:rPr>
        <w:t xml:space="preserve">Each staff member, subcontractor, or consultant who is responsible for the design, conduct, or reporting of research funded by </w:t>
      </w:r>
      <w:r w:rsidR="00C21340">
        <w:rPr>
          <w:sz w:val="20"/>
          <w:szCs w:val="20"/>
        </w:rPr>
        <w:t xml:space="preserve">a </w:t>
      </w:r>
      <w:r w:rsidRPr="00EA1424">
        <w:rPr>
          <w:sz w:val="20"/>
          <w:szCs w:val="20"/>
        </w:rPr>
        <w:t>PHS</w:t>
      </w:r>
      <w:r w:rsidR="009B3021">
        <w:rPr>
          <w:sz w:val="20"/>
          <w:szCs w:val="20"/>
        </w:rPr>
        <w:t xml:space="preserve"> </w:t>
      </w:r>
      <w:r w:rsidR="00C21340">
        <w:rPr>
          <w:sz w:val="20"/>
          <w:szCs w:val="20"/>
        </w:rPr>
        <w:t xml:space="preserve">agency </w:t>
      </w:r>
      <w:r w:rsidR="009B3021">
        <w:rPr>
          <w:sz w:val="20"/>
          <w:szCs w:val="20"/>
        </w:rPr>
        <w:t>is considered to be an “</w:t>
      </w:r>
      <w:r w:rsidRPr="00EA1424">
        <w:rPr>
          <w:sz w:val="20"/>
          <w:szCs w:val="20"/>
        </w:rPr>
        <w:t>Investigator</w:t>
      </w:r>
      <w:r w:rsidR="009B3021">
        <w:rPr>
          <w:sz w:val="20"/>
          <w:szCs w:val="20"/>
        </w:rPr>
        <w:t>”</w:t>
      </w:r>
      <w:r w:rsidR="00C21340">
        <w:rPr>
          <w:sz w:val="20"/>
          <w:szCs w:val="20"/>
        </w:rPr>
        <w:t>.  An “investigator”</w:t>
      </w:r>
      <w:r w:rsidR="009B3021">
        <w:rPr>
          <w:sz w:val="20"/>
          <w:szCs w:val="20"/>
        </w:rPr>
        <w:t xml:space="preserve"> </w:t>
      </w:r>
      <w:r w:rsidRPr="00EA1424">
        <w:rPr>
          <w:sz w:val="20"/>
          <w:szCs w:val="20"/>
        </w:rPr>
        <w:t xml:space="preserve">must complete required </w:t>
      </w:r>
      <w:r w:rsidR="009B3021">
        <w:rPr>
          <w:sz w:val="20"/>
          <w:szCs w:val="20"/>
        </w:rPr>
        <w:t xml:space="preserve">initial </w:t>
      </w:r>
      <w:r w:rsidRPr="00EA1424">
        <w:rPr>
          <w:sz w:val="20"/>
          <w:szCs w:val="20"/>
        </w:rPr>
        <w:t xml:space="preserve">training in FCOI </w:t>
      </w:r>
      <w:r w:rsidR="00C21340">
        <w:rPr>
          <w:sz w:val="20"/>
          <w:szCs w:val="20"/>
        </w:rPr>
        <w:t xml:space="preserve">PRIOR </w:t>
      </w:r>
      <w:r w:rsidRPr="00EA1424">
        <w:rPr>
          <w:sz w:val="20"/>
          <w:szCs w:val="20"/>
        </w:rPr>
        <w:t xml:space="preserve">to engaging in PHS funded research and </w:t>
      </w:r>
      <w:r w:rsidR="009B3021">
        <w:rPr>
          <w:sz w:val="20"/>
          <w:szCs w:val="20"/>
        </w:rPr>
        <w:t xml:space="preserve">complete refresher training </w:t>
      </w:r>
      <w:r w:rsidRPr="00EA1424">
        <w:rPr>
          <w:sz w:val="20"/>
          <w:szCs w:val="20"/>
        </w:rPr>
        <w:t xml:space="preserve">at least every four years. </w:t>
      </w:r>
    </w:p>
    <w:p w14:paraId="13CE9086" w14:textId="77777777" w:rsidR="00EA1424" w:rsidRDefault="00EA1424" w:rsidP="00EA1424">
      <w:pPr>
        <w:kinsoku w:val="0"/>
        <w:overflowPunct w:val="0"/>
        <w:autoSpaceDE w:val="0"/>
        <w:autoSpaceDN w:val="0"/>
        <w:adjustRightInd w:val="0"/>
        <w:ind w:left="100" w:right="390"/>
        <w:rPr>
          <w:sz w:val="20"/>
          <w:szCs w:val="20"/>
        </w:rPr>
      </w:pPr>
    </w:p>
    <w:p w14:paraId="20AF9DD9" w14:textId="137BEA0C" w:rsidR="00EA1424" w:rsidRPr="00EA1424" w:rsidRDefault="00EA1424" w:rsidP="00EA1424">
      <w:pPr>
        <w:kinsoku w:val="0"/>
        <w:overflowPunct w:val="0"/>
        <w:autoSpaceDE w:val="0"/>
        <w:autoSpaceDN w:val="0"/>
        <w:adjustRightInd w:val="0"/>
        <w:ind w:left="100" w:right="390"/>
        <w:rPr>
          <w:sz w:val="20"/>
          <w:szCs w:val="20"/>
        </w:rPr>
      </w:pPr>
      <w:r w:rsidRPr="00EA1424">
        <w:rPr>
          <w:sz w:val="20"/>
          <w:szCs w:val="20"/>
        </w:rPr>
        <w:t>Additionally, Investigators must immediately complete training under the following circumstances:</w:t>
      </w:r>
    </w:p>
    <w:p w14:paraId="0C4749EE" w14:textId="77777777" w:rsidR="00EA1424" w:rsidRPr="00EA1424" w:rsidRDefault="00EA1424" w:rsidP="00EA1424">
      <w:pPr>
        <w:kinsoku w:val="0"/>
        <w:overflowPunct w:val="0"/>
        <w:autoSpaceDE w:val="0"/>
        <w:autoSpaceDN w:val="0"/>
        <w:adjustRightInd w:val="0"/>
        <w:spacing w:before="3"/>
        <w:rPr>
          <w:sz w:val="21"/>
          <w:szCs w:val="21"/>
        </w:rPr>
      </w:pPr>
    </w:p>
    <w:p w14:paraId="25EBD680" w14:textId="77777777" w:rsidR="00EA1424" w:rsidRPr="00EA1424" w:rsidRDefault="00EA1424" w:rsidP="00EA1424">
      <w:pPr>
        <w:numPr>
          <w:ilvl w:val="0"/>
          <w:numId w:val="32"/>
        </w:numPr>
        <w:tabs>
          <w:tab w:val="left" w:pos="461"/>
        </w:tabs>
        <w:kinsoku w:val="0"/>
        <w:overflowPunct w:val="0"/>
        <w:autoSpaceDE w:val="0"/>
        <w:autoSpaceDN w:val="0"/>
        <w:adjustRightInd w:val="0"/>
        <w:spacing w:before="1"/>
        <w:rPr>
          <w:color w:val="000000"/>
          <w:sz w:val="20"/>
          <w:szCs w:val="20"/>
        </w:rPr>
      </w:pPr>
      <w:r w:rsidRPr="00EA1424">
        <w:rPr>
          <w:color w:val="000000"/>
          <w:sz w:val="20"/>
          <w:szCs w:val="20"/>
        </w:rPr>
        <w:t>Battelle’s FCOI policy changes in a manner that affects Investigator</w:t>
      </w:r>
      <w:r w:rsidRPr="00EA1424">
        <w:rPr>
          <w:color w:val="000000"/>
          <w:spacing w:val="-10"/>
          <w:sz w:val="20"/>
          <w:szCs w:val="20"/>
        </w:rPr>
        <w:t xml:space="preserve"> </w:t>
      </w:r>
      <w:r w:rsidRPr="00EA1424">
        <w:rPr>
          <w:color w:val="000000"/>
          <w:sz w:val="20"/>
          <w:szCs w:val="20"/>
        </w:rPr>
        <w:t>requirements;</w:t>
      </w:r>
    </w:p>
    <w:p w14:paraId="6390B853" w14:textId="77777777" w:rsidR="00EA1424" w:rsidRPr="00EA1424" w:rsidRDefault="00EA1424" w:rsidP="00EA1424">
      <w:pPr>
        <w:numPr>
          <w:ilvl w:val="0"/>
          <w:numId w:val="32"/>
        </w:numPr>
        <w:tabs>
          <w:tab w:val="left" w:pos="461"/>
        </w:tabs>
        <w:kinsoku w:val="0"/>
        <w:overflowPunct w:val="0"/>
        <w:autoSpaceDE w:val="0"/>
        <w:autoSpaceDN w:val="0"/>
        <w:adjustRightInd w:val="0"/>
        <w:spacing w:before="1"/>
        <w:rPr>
          <w:color w:val="000000"/>
          <w:sz w:val="20"/>
          <w:szCs w:val="20"/>
        </w:rPr>
      </w:pPr>
      <w:r w:rsidRPr="00EA1424">
        <w:rPr>
          <w:color w:val="000000"/>
          <w:sz w:val="20"/>
          <w:szCs w:val="20"/>
        </w:rPr>
        <w:t>An Investigator is new to Battelle;</w:t>
      </w:r>
      <w:r w:rsidRPr="00EA1424">
        <w:rPr>
          <w:color w:val="000000"/>
          <w:spacing w:val="-1"/>
          <w:sz w:val="20"/>
          <w:szCs w:val="20"/>
        </w:rPr>
        <w:t xml:space="preserve"> </w:t>
      </w:r>
      <w:r w:rsidRPr="00EA1424">
        <w:rPr>
          <w:color w:val="000000"/>
          <w:sz w:val="20"/>
          <w:szCs w:val="20"/>
        </w:rPr>
        <w:t>or</w:t>
      </w:r>
    </w:p>
    <w:p w14:paraId="41FC4176" w14:textId="77777777" w:rsidR="00EA1424" w:rsidRPr="00EA1424" w:rsidRDefault="00EA1424" w:rsidP="00EA1424">
      <w:pPr>
        <w:numPr>
          <w:ilvl w:val="0"/>
          <w:numId w:val="32"/>
        </w:numPr>
        <w:tabs>
          <w:tab w:val="left" w:pos="461"/>
        </w:tabs>
        <w:kinsoku w:val="0"/>
        <w:overflowPunct w:val="0"/>
        <w:autoSpaceDE w:val="0"/>
        <w:autoSpaceDN w:val="0"/>
        <w:adjustRightInd w:val="0"/>
        <w:ind w:right="1212"/>
        <w:rPr>
          <w:color w:val="000000"/>
          <w:sz w:val="20"/>
          <w:szCs w:val="20"/>
        </w:rPr>
      </w:pPr>
      <w:r w:rsidRPr="00EA1424">
        <w:rPr>
          <w:color w:val="000000"/>
          <w:sz w:val="20"/>
          <w:szCs w:val="20"/>
        </w:rPr>
        <w:t>Battelle determines that an Investigator is not in compliance with Battelle’s FCOI policy or management</w:t>
      </w:r>
      <w:r w:rsidRPr="00EA1424">
        <w:rPr>
          <w:color w:val="000000"/>
          <w:spacing w:val="-21"/>
          <w:sz w:val="20"/>
          <w:szCs w:val="20"/>
        </w:rPr>
        <w:t xml:space="preserve"> </w:t>
      </w:r>
      <w:r w:rsidRPr="00EA1424">
        <w:rPr>
          <w:color w:val="000000"/>
          <w:sz w:val="20"/>
          <w:szCs w:val="20"/>
        </w:rPr>
        <w:t>plan.</w:t>
      </w:r>
    </w:p>
    <w:p w14:paraId="056828A2" w14:textId="77777777" w:rsidR="00EA1424" w:rsidRPr="00EA1424" w:rsidRDefault="00EA1424" w:rsidP="00EA1424">
      <w:pPr>
        <w:kinsoku w:val="0"/>
        <w:overflowPunct w:val="0"/>
        <w:autoSpaceDE w:val="0"/>
        <w:autoSpaceDN w:val="0"/>
        <w:adjustRightInd w:val="0"/>
        <w:spacing w:before="10"/>
        <w:rPr>
          <w:sz w:val="20"/>
          <w:szCs w:val="20"/>
        </w:rPr>
      </w:pPr>
    </w:p>
    <w:p w14:paraId="2705D458" w14:textId="77777777" w:rsidR="00EA1424" w:rsidRDefault="00EA1424" w:rsidP="00EA1424">
      <w:pPr>
        <w:kinsoku w:val="0"/>
        <w:overflowPunct w:val="0"/>
        <w:autoSpaceDE w:val="0"/>
        <w:autoSpaceDN w:val="0"/>
        <w:adjustRightInd w:val="0"/>
        <w:ind w:left="100" w:right="105"/>
        <w:rPr>
          <w:sz w:val="20"/>
          <w:szCs w:val="20"/>
        </w:rPr>
      </w:pPr>
      <w:r w:rsidRPr="00EA1424">
        <w:rPr>
          <w:sz w:val="20"/>
          <w:szCs w:val="20"/>
        </w:rPr>
        <w:t xml:space="preserve">The required training consists of two parts. </w:t>
      </w:r>
    </w:p>
    <w:p w14:paraId="6E2B4E93" w14:textId="77777777" w:rsidR="00EA1424" w:rsidRDefault="00EA1424" w:rsidP="00EA1424">
      <w:pPr>
        <w:kinsoku w:val="0"/>
        <w:overflowPunct w:val="0"/>
        <w:autoSpaceDE w:val="0"/>
        <w:autoSpaceDN w:val="0"/>
        <w:adjustRightInd w:val="0"/>
        <w:ind w:left="100" w:right="105"/>
        <w:rPr>
          <w:sz w:val="20"/>
          <w:szCs w:val="20"/>
        </w:rPr>
      </w:pPr>
    </w:p>
    <w:p w14:paraId="55C31031" w14:textId="59FA5C40" w:rsidR="00EA1424" w:rsidRPr="00EA1424" w:rsidRDefault="00EA1424" w:rsidP="00EA1424">
      <w:pPr>
        <w:pStyle w:val="ListParagraph"/>
        <w:numPr>
          <w:ilvl w:val="0"/>
          <w:numId w:val="33"/>
        </w:numPr>
        <w:kinsoku w:val="0"/>
        <w:overflowPunct w:val="0"/>
        <w:autoSpaceDE w:val="0"/>
        <w:autoSpaceDN w:val="0"/>
        <w:adjustRightInd w:val="0"/>
        <w:ind w:right="105"/>
        <w:rPr>
          <w:color w:val="0073CF"/>
          <w:sz w:val="20"/>
          <w:szCs w:val="20"/>
        </w:rPr>
      </w:pPr>
      <w:r w:rsidRPr="00EA1424">
        <w:rPr>
          <w:sz w:val="20"/>
          <w:szCs w:val="20"/>
        </w:rPr>
        <w:t xml:space="preserve">The first part of this training requires the </w:t>
      </w:r>
      <w:r>
        <w:rPr>
          <w:sz w:val="20"/>
          <w:szCs w:val="20"/>
        </w:rPr>
        <w:t xml:space="preserve">Investigator </w:t>
      </w:r>
      <w:r w:rsidRPr="00EA1424">
        <w:rPr>
          <w:sz w:val="20"/>
          <w:szCs w:val="20"/>
        </w:rPr>
        <w:t xml:space="preserve">to read </w:t>
      </w:r>
      <w:hyperlink r:id="rId11" w:history="1">
        <w:r w:rsidRPr="00EA1424">
          <w:rPr>
            <w:rStyle w:val="Hyperlink"/>
            <w:sz w:val="20"/>
            <w:szCs w:val="20"/>
          </w:rPr>
          <w:t>Battelle’s FCOI policy</w:t>
        </w:r>
      </w:hyperlink>
      <w:r w:rsidRPr="00EA1424">
        <w:rPr>
          <w:sz w:val="20"/>
          <w:szCs w:val="20"/>
        </w:rPr>
        <w:t xml:space="preserve"> and the </w:t>
      </w:r>
      <w:hyperlink r:id="rId12" w:history="1">
        <w:r w:rsidRPr="00EA1424">
          <w:rPr>
            <w:rStyle w:val="Hyperlink"/>
            <w:sz w:val="20"/>
            <w:szCs w:val="20"/>
          </w:rPr>
          <w:t>FCOI Frequently Asked Questions (FAQs)</w:t>
        </w:r>
      </w:hyperlink>
      <w:r w:rsidRPr="00EA1424">
        <w:rPr>
          <w:sz w:val="20"/>
          <w:szCs w:val="20"/>
        </w:rPr>
        <w:t xml:space="preserve">.  Hyperlinks to this information are also available at Battelle’s public website at </w:t>
      </w:r>
      <w:hyperlink r:id="rId13" w:history="1">
        <w:r w:rsidRPr="00EA1424">
          <w:rPr>
            <w:rStyle w:val="Hyperlink"/>
            <w:sz w:val="20"/>
            <w:szCs w:val="20"/>
          </w:rPr>
          <w:t>Disclosures</w:t>
        </w:r>
      </w:hyperlink>
      <w:r w:rsidRPr="00EA1424">
        <w:rPr>
          <w:sz w:val="20"/>
          <w:szCs w:val="20"/>
        </w:rPr>
        <w:t xml:space="preserve">. </w:t>
      </w:r>
      <w:r w:rsidRPr="00EA1424">
        <w:rPr>
          <w:color w:val="000000"/>
          <w:sz w:val="20"/>
          <w:szCs w:val="20"/>
          <w:u w:val="single" w:color="0000FF"/>
        </w:rPr>
        <w:t xml:space="preserve"> </w:t>
      </w:r>
    </w:p>
    <w:p w14:paraId="07EB7D63" w14:textId="70CB5648" w:rsidR="00EA1424" w:rsidRPr="00EA1424" w:rsidRDefault="00EA1424" w:rsidP="00EA1424">
      <w:pPr>
        <w:pStyle w:val="ListParagraph"/>
        <w:numPr>
          <w:ilvl w:val="0"/>
          <w:numId w:val="33"/>
        </w:numPr>
        <w:kinsoku w:val="0"/>
        <w:overflowPunct w:val="0"/>
        <w:autoSpaceDE w:val="0"/>
        <w:autoSpaceDN w:val="0"/>
        <w:adjustRightInd w:val="0"/>
        <w:ind w:right="105"/>
        <w:rPr>
          <w:color w:val="0073CF"/>
          <w:sz w:val="20"/>
          <w:szCs w:val="20"/>
        </w:rPr>
      </w:pPr>
      <w:r w:rsidRPr="00C21340">
        <w:rPr>
          <w:color w:val="000000"/>
          <w:sz w:val="20"/>
          <w:szCs w:val="20"/>
          <w:u w:color="0000FF"/>
        </w:rPr>
        <w:t>The second part of the training involves the Investigator to complete an online training course provided by the</w:t>
      </w:r>
      <w:r w:rsidRPr="00EA1424">
        <w:rPr>
          <w:color w:val="000000"/>
          <w:sz w:val="20"/>
          <w:szCs w:val="20"/>
          <w:u w:val="single" w:color="0000FF"/>
        </w:rPr>
        <w:t xml:space="preserve"> </w:t>
      </w:r>
      <w:hyperlink r:id="rId14" w:history="1">
        <w:r w:rsidRPr="00EA1424">
          <w:rPr>
            <w:rStyle w:val="Hyperlink"/>
            <w:sz w:val="20"/>
            <w:szCs w:val="20"/>
          </w:rPr>
          <w:t>Collaborative Institution</w:t>
        </w:r>
        <w:r w:rsidRPr="00EA1424">
          <w:rPr>
            <w:rStyle w:val="Hyperlink"/>
            <w:sz w:val="20"/>
            <w:szCs w:val="20"/>
          </w:rPr>
          <w:t>a</w:t>
        </w:r>
        <w:r w:rsidRPr="00EA1424">
          <w:rPr>
            <w:rStyle w:val="Hyperlink"/>
            <w:sz w:val="20"/>
            <w:szCs w:val="20"/>
          </w:rPr>
          <w:t>l Training Initiative (CITI)</w:t>
        </w:r>
      </w:hyperlink>
      <w:r w:rsidRPr="00EA1424">
        <w:rPr>
          <w:color w:val="000000"/>
          <w:sz w:val="20"/>
          <w:szCs w:val="20"/>
          <w:u w:val="single" w:color="0000FF"/>
        </w:rPr>
        <w:t xml:space="preserve">. </w:t>
      </w:r>
    </w:p>
    <w:p w14:paraId="7035EAB8" w14:textId="6FF4A549" w:rsidR="00EA1424" w:rsidRPr="00EA1424" w:rsidRDefault="00EA1424" w:rsidP="00EA1424">
      <w:pPr>
        <w:kinsoku w:val="0"/>
        <w:overflowPunct w:val="0"/>
        <w:autoSpaceDE w:val="0"/>
        <w:autoSpaceDN w:val="0"/>
        <w:adjustRightInd w:val="0"/>
        <w:ind w:left="743"/>
        <w:rPr>
          <w:sz w:val="20"/>
          <w:szCs w:val="20"/>
        </w:rPr>
      </w:pPr>
    </w:p>
    <w:p w14:paraId="52617E0E" w14:textId="3159D4FE" w:rsidR="009B3021" w:rsidRDefault="009B3021" w:rsidP="009B3021">
      <w:pPr>
        <w:kinsoku w:val="0"/>
        <w:overflowPunct w:val="0"/>
        <w:autoSpaceDE w:val="0"/>
        <w:autoSpaceDN w:val="0"/>
        <w:adjustRightInd w:val="0"/>
        <w:spacing w:line="223" w:lineRule="exact"/>
        <w:ind w:left="39"/>
        <w:rPr>
          <w:sz w:val="20"/>
          <w:szCs w:val="20"/>
        </w:rPr>
      </w:pPr>
      <w:r w:rsidRPr="009B3021">
        <w:rPr>
          <w:sz w:val="20"/>
          <w:szCs w:val="20"/>
        </w:rPr>
        <w:t>In</w:t>
      </w:r>
      <w:r>
        <w:rPr>
          <w:sz w:val="20"/>
          <w:szCs w:val="20"/>
        </w:rPr>
        <w:t>vestigators must register with CITI.  Persons who are not registered with CITI should follow the instructions</w:t>
      </w:r>
      <w:r w:rsidR="00226095">
        <w:rPr>
          <w:sz w:val="20"/>
          <w:szCs w:val="20"/>
        </w:rPr>
        <w:t xml:space="preserve"> below to access the training: </w:t>
      </w:r>
    </w:p>
    <w:p w14:paraId="52332CBC" w14:textId="77777777" w:rsidR="009B3021" w:rsidRDefault="009B3021" w:rsidP="009B3021">
      <w:pPr>
        <w:kinsoku w:val="0"/>
        <w:overflowPunct w:val="0"/>
        <w:autoSpaceDE w:val="0"/>
        <w:autoSpaceDN w:val="0"/>
        <w:adjustRightInd w:val="0"/>
        <w:spacing w:line="223" w:lineRule="exact"/>
        <w:ind w:left="39"/>
        <w:rPr>
          <w:sz w:val="20"/>
          <w:szCs w:val="20"/>
        </w:rPr>
      </w:pPr>
    </w:p>
    <w:p w14:paraId="05689FD4" w14:textId="1505EA61" w:rsidR="009B3021" w:rsidRDefault="009B3021" w:rsidP="009B3021">
      <w:pPr>
        <w:kinsoku w:val="0"/>
        <w:overflowPunct w:val="0"/>
        <w:autoSpaceDE w:val="0"/>
        <w:autoSpaceDN w:val="0"/>
        <w:adjustRightInd w:val="0"/>
        <w:spacing w:before="7"/>
        <w:ind w:left="39" w:right="7612"/>
        <w:rPr>
          <w:rFonts w:ascii="Times New Roman" w:hAnsi="Times New Roman" w:cs="Times New Roman"/>
          <w:sz w:val="24"/>
          <w:szCs w:val="24"/>
        </w:rPr>
      </w:pPr>
      <w:hyperlink r:id="rId15" w:history="1">
        <w:r w:rsidRPr="009B3021">
          <w:rPr>
            <w:color w:val="002C77"/>
            <w:sz w:val="16"/>
            <w:szCs w:val="16"/>
            <w:u w:val="single"/>
          </w:rPr>
          <w:t>NEW USERS CITI PHS FCOI</w:t>
        </w:r>
        <w:r w:rsidR="00820A9A">
          <w:rPr>
            <w:color w:val="002C77"/>
            <w:sz w:val="16"/>
            <w:szCs w:val="16"/>
            <w:u w:val="single"/>
          </w:rPr>
          <w:t xml:space="preserve"> </w:t>
        </w:r>
        <w:r w:rsidRPr="009B3021">
          <w:rPr>
            <w:color w:val="002C77"/>
            <w:sz w:val="16"/>
            <w:szCs w:val="16"/>
            <w:u w:val="single"/>
          </w:rPr>
          <w:t>TRAINING</w:t>
        </w:r>
        <w:r w:rsidRPr="009B3021">
          <w:rPr>
            <w:color w:val="000000"/>
            <w:sz w:val="16"/>
            <w:szCs w:val="16"/>
          </w:rPr>
          <w:t>.</w:t>
        </w:r>
      </w:hyperlink>
    </w:p>
    <w:p w14:paraId="0F35F334" w14:textId="77777777" w:rsidR="009B3021" w:rsidRPr="009B3021" w:rsidRDefault="009B3021" w:rsidP="009B3021">
      <w:pPr>
        <w:kinsoku w:val="0"/>
        <w:overflowPunct w:val="0"/>
        <w:autoSpaceDE w:val="0"/>
        <w:autoSpaceDN w:val="0"/>
        <w:adjustRightInd w:val="0"/>
        <w:spacing w:before="7"/>
        <w:ind w:left="39" w:right="7612"/>
        <w:rPr>
          <w:color w:val="000000"/>
          <w:sz w:val="16"/>
          <w:szCs w:val="16"/>
        </w:rPr>
      </w:pPr>
    </w:p>
    <w:p w14:paraId="19C82D68" w14:textId="3481478C" w:rsidR="009B3021" w:rsidRPr="009B3021" w:rsidRDefault="00820A9A" w:rsidP="009B3021">
      <w:pPr>
        <w:kinsoku w:val="0"/>
        <w:overflowPunct w:val="0"/>
        <w:autoSpaceDE w:val="0"/>
        <w:autoSpaceDN w:val="0"/>
        <w:adjustRightInd w:val="0"/>
        <w:spacing w:line="237" w:lineRule="auto"/>
        <w:ind w:left="39"/>
        <w:rPr>
          <w:sz w:val="20"/>
          <w:szCs w:val="20"/>
        </w:rPr>
      </w:pPr>
      <w:r>
        <w:rPr>
          <w:sz w:val="20"/>
          <w:szCs w:val="20"/>
        </w:rPr>
        <w:t xml:space="preserve">Persons </w:t>
      </w:r>
      <w:r w:rsidR="009B3021" w:rsidRPr="009B3021">
        <w:rPr>
          <w:sz w:val="20"/>
          <w:szCs w:val="20"/>
        </w:rPr>
        <w:t xml:space="preserve">who are </w:t>
      </w:r>
      <w:r>
        <w:rPr>
          <w:sz w:val="20"/>
          <w:szCs w:val="20"/>
        </w:rPr>
        <w:t xml:space="preserve">already </w:t>
      </w:r>
      <w:r w:rsidR="009B3021" w:rsidRPr="009B3021">
        <w:rPr>
          <w:sz w:val="20"/>
          <w:szCs w:val="20"/>
        </w:rPr>
        <w:t>registered with CITI should follow the instructions below to access the training.</w:t>
      </w:r>
    </w:p>
    <w:p w14:paraId="0DB607D3" w14:textId="77777777" w:rsidR="009B3021" w:rsidRDefault="009B3021" w:rsidP="009B3021">
      <w:pPr>
        <w:kinsoku w:val="0"/>
        <w:overflowPunct w:val="0"/>
        <w:autoSpaceDE w:val="0"/>
        <w:autoSpaceDN w:val="0"/>
        <w:adjustRightInd w:val="0"/>
        <w:spacing w:before="7"/>
        <w:ind w:left="39" w:right="7590"/>
        <w:rPr>
          <w:rFonts w:ascii="Times New Roman" w:hAnsi="Times New Roman" w:cs="Times New Roman"/>
          <w:sz w:val="24"/>
          <w:szCs w:val="24"/>
        </w:rPr>
      </w:pPr>
    </w:p>
    <w:p w14:paraId="2F82BAC3" w14:textId="23BFBCAD" w:rsidR="009B3021" w:rsidRPr="009B3021" w:rsidRDefault="00000000" w:rsidP="009B3021">
      <w:pPr>
        <w:kinsoku w:val="0"/>
        <w:overflowPunct w:val="0"/>
        <w:autoSpaceDE w:val="0"/>
        <w:autoSpaceDN w:val="0"/>
        <w:adjustRightInd w:val="0"/>
        <w:spacing w:before="7"/>
        <w:ind w:left="39" w:right="7590"/>
        <w:rPr>
          <w:color w:val="002C77"/>
          <w:w w:val="105"/>
          <w:sz w:val="16"/>
          <w:szCs w:val="16"/>
        </w:rPr>
      </w:pPr>
      <w:hyperlink r:id="rId16" w:history="1">
        <w:r w:rsidR="009B3021" w:rsidRPr="009B3021">
          <w:rPr>
            <w:color w:val="002C77"/>
            <w:w w:val="105"/>
            <w:sz w:val="16"/>
            <w:szCs w:val="16"/>
            <w:u w:val="single"/>
          </w:rPr>
          <w:t>REGISTERED USERS CITI PHS FCOI TRAIN</w:t>
        </w:r>
      </w:hyperlink>
    </w:p>
    <w:p w14:paraId="0C747FD9" w14:textId="74B1DCA3" w:rsidR="002331A0" w:rsidRDefault="002331A0" w:rsidP="00D44F7B">
      <w:pPr>
        <w:pStyle w:val="Brandedbody"/>
      </w:pPr>
    </w:p>
    <w:p w14:paraId="666A4DCD" w14:textId="1737A397" w:rsidR="00C21340" w:rsidRDefault="00C21340" w:rsidP="00D44F7B">
      <w:pPr>
        <w:pStyle w:val="Brandedbody"/>
      </w:pPr>
    </w:p>
    <w:p w14:paraId="4C8BA3D5" w14:textId="24190343" w:rsidR="00C21340" w:rsidRDefault="00C21340" w:rsidP="00D44F7B">
      <w:pPr>
        <w:pStyle w:val="Brandedbody"/>
      </w:pPr>
    </w:p>
    <w:p w14:paraId="6E9EF5DB" w14:textId="634ACE90" w:rsidR="00C21340" w:rsidRDefault="00C21340" w:rsidP="00D44F7B">
      <w:pPr>
        <w:pStyle w:val="Brandedbody"/>
      </w:pPr>
    </w:p>
    <w:p w14:paraId="47E35BD4" w14:textId="7846B4F8" w:rsidR="00C21340" w:rsidRDefault="00C21340" w:rsidP="00D44F7B">
      <w:pPr>
        <w:pStyle w:val="Brandedbody"/>
      </w:pPr>
    </w:p>
    <w:p w14:paraId="4B998FF2" w14:textId="5D340882" w:rsidR="00C21340" w:rsidRDefault="00C21340" w:rsidP="00D44F7B">
      <w:pPr>
        <w:pStyle w:val="Brandedbody"/>
      </w:pPr>
    </w:p>
    <w:p w14:paraId="30375C03" w14:textId="0CAD807C" w:rsidR="00C21340" w:rsidRPr="00D7327B" w:rsidRDefault="00D7327B" w:rsidP="00D44F7B">
      <w:pPr>
        <w:pStyle w:val="Brandedbody"/>
        <w:rPr>
          <w:sz w:val="20"/>
          <w:szCs w:val="20"/>
        </w:rPr>
      </w:pPr>
      <w:r w:rsidRPr="00D7327B">
        <w:rPr>
          <w:sz w:val="20"/>
          <w:szCs w:val="20"/>
        </w:rPr>
        <w:t>SuccessFactors Training: “PHS Conflicts of Interest”, WBT BBFCOI_WBT</w:t>
      </w:r>
    </w:p>
    <w:p w14:paraId="7678EAF7" w14:textId="7B3A421A" w:rsidR="00610A40" w:rsidRPr="00C21340" w:rsidRDefault="00C21340" w:rsidP="003C42DB">
      <w:pPr>
        <w:pStyle w:val="Brandedbody"/>
        <w:rPr>
          <w:sz w:val="18"/>
          <w:szCs w:val="18"/>
        </w:rPr>
      </w:pPr>
      <w:r w:rsidRPr="00C21340">
        <w:rPr>
          <w:sz w:val="18"/>
          <w:szCs w:val="18"/>
        </w:rPr>
        <w:t>Updated 21 August 2022</w:t>
      </w:r>
    </w:p>
    <w:sectPr w:rsidR="00610A40" w:rsidRPr="00C21340" w:rsidSect="00B73E46">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85B0" w14:textId="77777777" w:rsidR="003852D5" w:rsidRDefault="003852D5" w:rsidP="00CD543F">
      <w:r>
        <w:separator/>
      </w:r>
    </w:p>
  </w:endnote>
  <w:endnote w:type="continuationSeparator" w:id="0">
    <w:p w14:paraId="4B7FD253" w14:textId="77777777" w:rsidR="003852D5" w:rsidRDefault="003852D5"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4038" w14:textId="77777777" w:rsidR="000F03B8" w:rsidRDefault="000F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2352" w14:textId="77777777" w:rsidR="005E59E1" w:rsidRPr="005E59E1" w:rsidRDefault="005E59E1" w:rsidP="005E59E1">
    <w:pPr>
      <w:tabs>
        <w:tab w:val="left" w:pos="-1170"/>
        <w:tab w:val="center" w:pos="5040"/>
        <w:tab w:val="right" w:pos="10080"/>
      </w:tabs>
      <w:jc w:val="center"/>
      <w:rPr>
        <w:color w:val="404040"/>
        <w:sz w:val="12"/>
        <w:szCs w:val="12"/>
      </w:rPr>
    </w:pPr>
  </w:p>
  <w:p w14:paraId="1649D636" w14:textId="77777777" w:rsidR="00CD543F" w:rsidRPr="00C05CDA" w:rsidRDefault="002417CF" w:rsidP="006477F9">
    <w:pPr>
      <w:tabs>
        <w:tab w:val="left" w:pos="-1170"/>
        <w:tab w:val="center" w:pos="5040"/>
        <w:tab w:val="right" w:pos="10080"/>
      </w:tabs>
      <w:spacing w:before="120"/>
      <w:jc w:val="center"/>
      <w:rPr>
        <w:color w:val="404040"/>
        <w:sz w:val="17"/>
        <w:szCs w:val="17"/>
      </w:rPr>
    </w:pPr>
    <w:r w:rsidRPr="00544C14">
      <w:rPr>
        <w:noProof/>
        <w:color w:val="717171"/>
      </w:rPr>
      <w:drawing>
        <wp:anchor distT="0" distB="0" distL="114300" distR="114300" simplePos="0" relativeHeight="251669504" behindDoc="1" locked="0" layoutInCell="1" allowOverlap="1" wp14:anchorId="0C275066" wp14:editId="3E68D28C">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sidRPr="00544C14">
      <w:rPr>
        <w:color w:val="717171"/>
        <w:sz w:val="17"/>
        <w:szCs w:val="17"/>
      </w:rPr>
      <w:t>Battelle  </w:t>
    </w:r>
    <w:r w:rsidR="00DD03E0" w:rsidRPr="00544C14">
      <w:rPr>
        <w:color w:val="717171"/>
        <w:sz w:val="17"/>
        <w:szCs w:val="17"/>
      </w:rPr>
      <w:t>|  D</w:t>
    </w:r>
    <w:r w:rsidRPr="00544C14">
      <w:rPr>
        <w:color w:val="717171"/>
        <w:sz w:val="17"/>
        <w:szCs w:val="17"/>
      </w:rPr>
      <w:t>ate</w:t>
    </w:r>
    <w:r w:rsidR="00DD03E0" w:rsidRPr="00C05CDA">
      <w:rPr>
        <w:color w:val="404040"/>
        <w:sz w:val="17"/>
        <w:szCs w:val="17"/>
      </w:rPr>
      <w:tab/>
    </w:r>
    <w:r w:rsidR="00DD03E0" w:rsidRPr="00C05CDA">
      <w:rPr>
        <w:color w:val="404040"/>
        <w:sz w:val="17"/>
        <w:szCs w:val="17"/>
      </w:rPr>
      <w:tab/>
    </w:r>
    <w:r w:rsidR="00DD03E0" w:rsidRPr="00C05CDA">
      <w:rPr>
        <w:color w:val="404040"/>
        <w:sz w:val="17"/>
        <w:szCs w:val="17"/>
      </w:rPr>
      <w:fldChar w:fldCharType="begin"/>
    </w:r>
    <w:r w:rsidR="00DD03E0" w:rsidRPr="00C05CDA">
      <w:rPr>
        <w:color w:val="404040"/>
        <w:sz w:val="17"/>
        <w:szCs w:val="17"/>
      </w:rPr>
      <w:instrText xml:space="preserve"> PAGE   \* MERGEFORMAT </w:instrText>
    </w:r>
    <w:r w:rsidR="00DD03E0" w:rsidRPr="00C05CDA">
      <w:rPr>
        <w:color w:val="404040"/>
        <w:sz w:val="17"/>
        <w:szCs w:val="17"/>
      </w:rPr>
      <w:fldChar w:fldCharType="separate"/>
    </w:r>
    <w:r w:rsidR="00596307">
      <w:rPr>
        <w:noProof/>
        <w:color w:val="404040"/>
        <w:sz w:val="17"/>
        <w:szCs w:val="17"/>
      </w:rPr>
      <w:t>2</w:t>
    </w:r>
    <w:r w:rsidR="00DD03E0" w:rsidRPr="00C05CDA">
      <w:rPr>
        <w:color w:val="40404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259C" w14:textId="77777777" w:rsidR="002431B7" w:rsidRPr="003C42DB" w:rsidRDefault="002417CF"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719280D3" wp14:editId="7A37BBA4">
              <wp:simplePos x="0" y="0"/>
              <wp:positionH relativeFrom="margin">
                <wp:align>center</wp:align>
              </wp:positionH>
              <wp:positionV relativeFrom="paragraph">
                <wp:posOffset>374255</wp:posOffset>
              </wp:positionV>
              <wp:extent cx="5597525" cy="271780"/>
              <wp:effectExtent l="0" t="0" r="3175"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5597525" cy="271780"/>
                      </a:xfrm>
                      <a:prstGeom prst="rect">
                        <a:avLst/>
                      </a:prstGeom>
                      <a:solidFill>
                        <a:schemeClr val="lt1"/>
                      </a:solidFill>
                      <a:ln w="6350">
                        <a:noFill/>
                      </a:ln>
                    </wps:spPr>
                    <wps:txbx>
                      <w:txbxContent>
                        <w:p w14:paraId="79B95B50"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56F10871" w14:textId="77777777" w:rsidR="003C42DB" w:rsidRPr="0088620E" w:rsidRDefault="003C42DB" w:rsidP="003C42DB">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280D3" id="_x0000_t202" coordsize="21600,21600" o:spt="202" path="m,l,21600r21600,l21600,xe">
              <v:stroke joinstyle="miter"/>
              <v:path gradientshapeok="t" o:connecttype="rect"/>
            </v:shapetype>
            <v:shape id="Text Box 11" o:spid="_x0000_s1026" type="#_x0000_t202" alt="Title: Footer address and contact information - Description: Footer address and contact information" style="position:absolute;left:0;text-align:left;margin-left:0;margin-top:29.45pt;width:440.75pt;height:21.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" fillcolor="white [3201]" stroked="f" strokeweight=".5pt">
              <v:textbox>
                <w:txbxContent>
                  <w:p w14:paraId="79B95B50"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56F10871" w14:textId="77777777" w:rsidR="003C42DB" w:rsidRPr="0088620E" w:rsidRDefault="003C42DB" w:rsidP="003C42DB">
                    <w:pPr>
                      <w:rPr>
                        <w:sz w:val="17"/>
                        <w:szCs w:val="17"/>
                      </w:rPr>
                    </w:pPr>
                  </w:p>
                </w:txbxContent>
              </v:textbox>
              <w10:wrap anchorx="margin"/>
            </v:shape>
          </w:pict>
        </mc:Fallback>
      </mc:AlternateContent>
    </w:r>
    <w:r w:rsidR="00C05CDA">
      <w:rPr>
        <w:noProof/>
      </w:rPr>
      <w:drawing>
        <wp:inline distT="0" distB="0" distL="0" distR="0" wp14:anchorId="167109AC" wp14:editId="02EA2924">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8D5E" w14:textId="77777777" w:rsidR="003852D5" w:rsidRDefault="003852D5" w:rsidP="00CD543F">
      <w:r>
        <w:separator/>
      </w:r>
    </w:p>
  </w:footnote>
  <w:footnote w:type="continuationSeparator" w:id="0">
    <w:p w14:paraId="150C777C" w14:textId="77777777" w:rsidR="003852D5" w:rsidRDefault="003852D5"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1554" w14:textId="77777777" w:rsidR="000F03B8" w:rsidRDefault="000F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D26A" w14:textId="77777777" w:rsidR="000F03B8" w:rsidRDefault="000F0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AABC" w14:textId="77777777" w:rsidR="003C09C0" w:rsidRDefault="002B371C" w:rsidP="009D012D">
    <w:pPr>
      <w:jc w:val="right"/>
    </w:pPr>
    <w:r>
      <w:rPr>
        <w:noProof/>
      </w:rPr>
      <w:drawing>
        <wp:inline distT="0" distB="0" distL="0" distR="0" wp14:anchorId="5C1976DA" wp14:editId="1EEBADA8">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7488CCC7" w14:textId="77777777" w:rsidR="002417CF" w:rsidRDefault="002417CF" w:rsidP="002417CF">
    <w:pPr>
      <w:jc w:val="right"/>
    </w:pPr>
  </w:p>
  <w:p w14:paraId="3F24F05E" w14:textId="77777777" w:rsidR="002417CF" w:rsidRDefault="002417CF" w:rsidP="002417CF">
    <w:pPr>
      <w:jc w:val="right"/>
    </w:pPr>
  </w:p>
  <w:p w14:paraId="07262C94" w14:textId="77777777" w:rsidR="002417CF" w:rsidRDefault="002417CF" w:rsidP="002417CF">
    <w:pPr>
      <w:jc w:val="right"/>
    </w:pPr>
  </w:p>
  <w:p w14:paraId="5E88E8DB" w14:textId="77777777" w:rsidR="002417CF" w:rsidRDefault="002417CF" w:rsidP="002417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val="0"/>
        <w:bCs w:val="0"/>
        <w:color w:val="0076BD"/>
        <w:w w:val="100"/>
        <w:sz w:val="16"/>
        <w:szCs w:val="16"/>
      </w:rPr>
    </w:lvl>
    <w:lvl w:ilvl="1">
      <w:numFmt w:val="bullet"/>
      <w:lvlText w:val="•"/>
      <w:lvlJc w:val="left"/>
      <w:pPr>
        <w:ind w:left="1368" w:hanging="360"/>
      </w:pPr>
    </w:lvl>
    <w:lvl w:ilvl="2">
      <w:numFmt w:val="bullet"/>
      <w:lvlText w:val="•"/>
      <w:lvlJc w:val="left"/>
      <w:pPr>
        <w:ind w:left="2276" w:hanging="360"/>
      </w:pPr>
    </w:lvl>
    <w:lvl w:ilvl="3">
      <w:numFmt w:val="bullet"/>
      <w:lvlText w:val="•"/>
      <w:lvlJc w:val="left"/>
      <w:pPr>
        <w:ind w:left="3184" w:hanging="360"/>
      </w:pPr>
    </w:lvl>
    <w:lvl w:ilvl="4">
      <w:numFmt w:val="bullet"/>
      <w:lvlText w:val="•"/>
      <w:lvlJc w:val="left"/>
      <w:pPr>
        <w:ind w:left="4092" w:hanging="360"/>
      </w:pPr>
    </w:lvl>
    <w:lvl w:ilvl="5">
      <w:numFmt w:val="bullet"/>
      <w:lvlText w:val="•"/>
      <w:lvlJc w:val="left"/>
      <w:pPr>
        <w:ind w:left="5000" w:hanging="360"/>
      </w:pPr>
    </w:lvl>
    <w:lvl w:ilvl="6">
      <w:numFmt w:val="bullet"/>
      <w:lvlText w:val="•"/>
      <w:lvlJc w:val="left"/>
      <w:pPr>
        <w:ind w:left="5908" w:hanging="360"/>
      </w:pPr>
    </w:lvl>
    <w:lvl w:ilvl="7">
      <w:numFmt w:val="bullet"/>
      <w:lvlText w:val="•"/>
      <w:lvlJc w:val="left"/>
      <w:pPr>
        <w:ind w:left="6816" w:hanging="360"/>
      </w:pPr>
    </w:lvl>
    <w:lvl w:ilvl="8">
      <w:numFmt w:val="bullet"/>
      <w:lvlText w:val="•"/>
      <w:lvlJc w:val="left"/>
      <w:pPr>
        <w:ind w:left="7724" w:hanging="360"/>
      </w:pPr>
    </w:lvl>
  </w:abstractNum>
  <w:abstractNum w:abstractNumId="1"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53FE"/>
    <w:multiLevelType w:val="hybridMultilevel"/>
    <w:tmpl w:val="0C927E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E255486"/>
    <w:multiLevelType w:val="multilevel"/>
    <w:tmpl w:val="471A0308"/>
    <w:numStyleLink w:val="BrandedNumberList0"/>
  </w:abstractNum>
  <w:abstractNum w:abstractNumId="11"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3"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946420050">
    <w:abstractNumId w:val="6"/>
  </w:num>
  <w:num w:numId="2" w16cid:durableId="1373265039">
    <w:abstractNumId w:val="6"/>
  </w:num>
  <w:num w:numId="3" w16cid:durableId="1641613184">
    <w:abstractNumId w:val="6"/>
  </w:num>
  <w:num w:numId="4" w16cid:durableId="1091052509">
    <w:abstractNumId w:val="6"/>
  </w:num>
  <w:num w:numId="5" w16cid:durableId="611478936">
    <w:abstractNumId w:val="6"/>
  </w:num>
  <w:num w:numId="6" w16cid:durableId="1908030326">
    <w:abstractNumId w:val="6"/>
  </w:num>
  <w:num w:numId="7" w16cid:durableId="1419327001">
    <w:abstractNumId w:val="6"/>
  </w:num>
  <w:num w:numId="8" w16cid:durableId="1479104908">
    <w:abstractNumId w:val="14"/>
  </w:num>
  <w:num w:numId="9" w16cid:durableId="1160075625">
    <w:abstractNumId w:val="11"/>
  </w:num>
  <w:num w:numId="10" w16cid:durableId="899940614">
    <w:abstractNumId w:val="6"/>
  </w:num>
  <w:num w:numId="11" w16cid:durableId="167211257">
    <w:abstractNumId w:val="14"/>
  </w:num>
  <w:num w:numId="12" w16cid:durableId="636296317">
    <w:abstractNumId w:val="11"/>
  </w:num>
  <w:num w:numId="13" w16cid:durableId="284044597">
    <w:abstractNumId w:val="6"/>
  </w:num>
  <w:num w:numId="14" w16cid:durableId="2033608421">
    <w:abstractNumId w:val="6"/>
  </w:num>
  <w:num w:numId="15" w16cid:durableId="1459955385">
    <w:abstractNumId w:val="6"/>
  </w:num>
  <w:num w:numId="16" w16cid:durableId="1106075996">
    <w:abstractNumId w:val="13"/>
  </w:num>
  <w:num w:numId="17" w16cid:durableId="1848982398">
    <w:abstractNumId w:val="12"/>
  </w:num>
  <w:num w:numId="18" w16cid:durableId="1562013072">
    <w:abstractNumId w:val="5"/>
  </w:num>
  <w:num w:numId="19" w16cid:durableId="1818064377">
    <w:abstractNumId w:val="6"/>
  </w:num>
  <w:num w:numId="20" w16cid:durableId="261299260">
    <w:abstractNumId w:val="6"/>
  </w:num>
  <w:num w:numId="21" w16cid:durableId="252782226">
    <w:abstractNumId w:val="6"/>
  </w:num>
  <w:num w:numId="22" w16cid:durableId="353191826">
    <w:abstractNumId w:val="13"/>
  </w:num>
  <w:num w:numId="23" w16cid:durableId="306790106">
    <w:abstractNumId w:val="12"/>
  </w:num>
  <w:num w:numId="24" w16cid:durableId="1229221777">
    <w:abstractNumId w:val="5"/>
  </w:num>
  <w:num w:numId="25" w16cid:durableId="1606882404">
    <w:abstractNumId w:val="1"/>
  </w:num>
  <w:num w:numId="26" w16cid:durableId="1705475279">
    <w:abstractNumId w:val="4"/>
  </w:num>
  <w:num w:numId="27" w16cid:durableId="73864632">
    <w:abstractNumId w:val="8"/>
  </w:num>
  <w:num w:numId="28" w16cid:durableId="244654485">
    <w:abstractNumId w:val="3"/>
  </w:num>
  <w:num w:numId="29" w16cid:durableId="1546987989">
    <w:abstractNumId w:val="7"/>
  </w:num>
  <w:num w:numId="30" w16cid:durableId="629172589">
    <w:abstractNumId w:val="9"/>
  </w:num>
  <w:num w:numId="31" w16cid:durableId="608507490">
    <w:abstractNumId w:val="10"/>
  </w:num>
  <w:num w:numId="32" w16cid:durableId="500046489">
    <w:abstractNumId w:val="0"/>
  </w:num>
  <w:num w:numId="33" w16cid:durableId="1369141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efaultTableStyle w:val="BattelleBranded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3F"/>
    <w:rsid w:val="00014298"/>
    <w:rsid w:val="00036B70"/>
    <w:rsid w:val="00045DA7"/>
    <w:rsid w:val="000C2781"/>
    <w:rsid w:val="000F03B8"/>
    <w:rsid w:val="001032C9"/>
    <w:rsid w:val="00142327"/>
    <w:rsid w:val="00194742"/>
    <w:rsid w:val="00194B05"/>
    <w:rsid w:val="001A3EAD"/>
    <w:rsid w:val="001C57B0"/>
    <w:rsid w:val="001C70E2"/>
    <w:rsid w:val="001D4724"/>
    <w:rsid w:val="001F486A"/>
    <w:rsid w:val="00226095"/>
    <w:rsid w:val="002331A0"/>
    <w:rsid w:val="002417CF"/>
    <w:rsid w:val="002431B7"/>
    <w:rsid w:val="0025437F"/>
    <w:rsid w:val="00264850"/>
    <w:rsid w:val="00287CCA"/>
    <w:rsid w:val="00291126"/>
    <w:rsid w:val="00291437"/>
    <w:rsid w:val="002A2CEA"/>
    <w:rsid w:val="002A4358"/>
    <w:rsid w:val="002B371C"/>
    <w:rsid w:val="002C4463"/>
    <w:rsid w:val="002F68DD"/>
    <w:rsid w:val="00322F56"/>
    <w:rsid w:val="003410B6"/>
    <w:rsid w:val="00361025"/>
    <w:rsid w:val="00362F11"/>
    <w:rsid w:val="00375294"/>
    <w:rsid w:val="003852D5"/>
    <w:rsid w:val="00386C73"/>
    <w:rsid w:val="003A582E"/>
    <w:rsid w:val="003A6C64"/>
    <w:rsid w:val="003B34F5"/>
    <w:rsid w:val="003B3AD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78CD"/>
    <w:rsid w:val="00424146"/>
    <w:rsid w:val="00434B7E"/>
    <w:rsid w:val="0046042C"/>
    <w:rsid w:val="00463878"/>
    <w:rsid w:val="004735A0"/>
    <w:rsid w:val="004A2077"/>
    <w:rsid w:val="004B0C67"/>
    <w:rsid w:val="004E16D6"/>
    <w:rsid w:val="0050542E"/>
    <w:rsid w:val="005128D1"/>
    <w:rsid w:val="005156DD"/>
    <w:rsid w:val="005253A2"/>
    <w:rsid w:val="0053559D"/>
    <w:rsid w:val="00544C14"/>
    <w:rsid w:val="005571EF"/>
    <w:rsid w:val="00563E51"/>
    <w:rsid w:val="00567A47"/>
    <w:rsid w:val="00591B24"/>
    <w:rsid w:val="005925E4"/>
    <w:rsid w:val="00596307"/>
    <w:rsid w:val="005A1ACF"/>
    <w:rsid w:val="005D1CF5"/>
    <w:rsid w:val="005E3E23"/>
    <w:rsid w:val="005E59E1"/>
    <w:rsid w:val="005F51D1"/>
    <w:rsid w:val="00610A40"/>
    <w:rsid w:val="00614091"/>
    <w:rsid w:val="006162EB"/>
    <w:rsid w:val="006227C8"/>
    <w:rsid w:val="00635C1B"/>
    <w:rsid w:val="006477F9"/>
    <w:rsid w:val="00676251"/>
    <w:rsid w:val="006C2B74"/>
    <w:rsid w:val="006D0E2A"/>
    <w:rsid w:val="006E1603"/>
    <w:rsid w:val="006E4EAA"/>
    <w:rsid w:val="007520DD"/>
    <w:rsid w:val="007A1FC4"/>
    <w:rsid w:val="007A4ACB"/>
    <w:rsid w:val="007C217A"/>
    <w:rsid w:val="007F2570"/>
    <w:rsid w:val="007F3BD4"/>
    <w:rsid w:val="00820A9A"/>
    <w:rsid w:val="00827671"/>
    <w:rsid w:val="00856930"/>
    <w:rsid w:val="00881546"/>
    <w:rsid w:val="008B1390"/>
    <w:rsid w:val="008E0C34"/>
    <w:rsid w:val="00900CFD"/>
    <w:rsid w:val="009060F1"/>
    <w:rsid w:val="00926547"/>
    <w:rsid w:val="009303F4"/>
    <w:rsid w:val="0093121E"/>
    <w:rsid w:val="00945724"/>
    <w:rsid w:val="00945BAD"/>
    <w:rsid w:val="0095668F"/>
    <w:rsid w:val="009A37B4"/>
    <w:rsid w:val="009B3021"/>
    <w:rsid w:val="009C18AA"/>
    <w:rsid w:val="009C2552"/>
    <w:rsid w:val="009D012D"/>
    <w:rsid w:val="00A0679A"/>
    <w:rsid w:val="00A73954"/>
    <w:rsid w:val="00A81899"/>
    <w:rsid w:val="00A859BA"/>
    <w:rsid w:val="00AB036A"/>
    <w:rsid w:val="00AC7DC6"/>
    <w:rsid w:val="00AD0EC0"/>
    <w:rsid w:val="00AD31F5"/>
    <w:rsid w:val="00B01EC1"/>
    <w:rsid w:val="00B44728"/>
    <w:rsid w:val="00B6306A"/>
    <w:rsid w:val="00B64947"/>
    <w:rsid w:val="00B73E46"/>
    <w:rsid w:val="00B8237F"/>
    <w:rsid w:val="00BB5758"/>
    <w:rsid w:val="00BD5165"/>
    <w:rsid w:val="00BE10C6"/>
    <w:rsid w:val="00BE5B9C"/>
    <w:rsid w:val="00C05CDA"/>
    <w:rsid w:val="00C151D6"/>
    <w:rsid w:val="00C21340"/>
    <w:rsid w:val="00C776EE"/>
    <w:rsid w:val="00CA4F14"/>
    <w:rsid w:val="00CA6A1D"/>
    <w:rsid w:val="00CB5011"/>
    <w:rsid w:val="00CC3D4E"/>
    <w:rsid w:val="00CC4738"/>
    <w:rsid w:val="00CD543F"/>
    <w:rsid w:val="00D043DF"/>
    <w:rsid w:val="00D07CBA"/>
    <w:rsid w:val="00D35251"/>
    <w:rsid w:val="00D43697"/>
    <w:rsid w:val="00D44F7B"/>
    <w:rsid w:val="00D46B0B"/>
    <w:rsid w:val="00D540A9"/>
    <w:rsid w:val="00D57E15"/>
    <w:rsid w:val="00D632FD"/>
    <w:rsid w:val="00D7327B"/>
    <w:rsid w:val="00D84E3C"/>
    <w:rsid w:val="00DB3BCE"/>
    <w:rsid w:val="00DC0EEE"/>
    <w:rsid w:val="00DD03E0"/>
    <w:rsid w:val="00DD05CF"/>
    <w:rsid w:val="00DE09C2"/>
    <w:rsid w:val="00E023C2"/>
    <w:rsid w:val="00E04154"/>
    <w:rsid w:val="00E418BD"/>
    <w:rsid w:val="00E425E0"/>
    <w:rsid w:val="00E51D2C"/>
    <w:rsid w:val="00E54663"/>
    <w:rsid w:val="00E562CA"/>
    <w:rsid w:val="00E64C39"/>
    <w:rsid w:val="00E91972"/>
    <w:rsid w:val="00E92DD2"/>
    <w:rsid w:val="00E96D66"/>
    <w:rsid w:val="00EA1424"/>
    <w:rsid w:val="00EC01E8"/>
    <w:rsid w:val="00ED4E74"/>
    <w:rsid w:val="00EE3730"/>
    <w:rsid w:val="00EF69C7"/>
    <w:rsid w:val="00F231E0"/>
    <w:rsid w:val="00F27F7A"/>
    <w:rsid w:val="00F35C96"/>
    <w:rsid w:val="00F87A8D"/>
    <w:rsid w:val="00F937CD"/>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95A8"/>
  <w15:docId w15:val="{B3A66D7A-9644-4DB6-AE7D-744DC149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165"/>
    <w:pPr>
      <w:spacing w:after="0" w:line="240" w:lineRule="auto"/>
    </w:pPr>
    <w:rPr>
      <w:rFonts w:ascii="Arial" w:hAnsi="Arial" w:cs="Arial"/>
    </w:rPr>
  </w:style>
  <w:style w:type="paragraph" w:styleId="Heading1">
    <w:name w:val="heading 1"/>
    <w:basedOn w:val="Normal"/>
    <w:next w:val="Normal"/>
    <w:link w:val="Heading1Char"/>
    <w:uiPriority w:val="9"/>
    <w:rsid w:val="001A3EAD"/>
    <w:pPr>
      <w:spacing w:before="120" w:after="440"/>
      <w:outlineLvl w:val="0"/>
    </w:pPr>
    <w:rPr>
      <w:rFonts w:eastAsiaTheme="majorEastAsia"/>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eastAsiaTheme="majorEastAsia"/>
      <w:bCs/>
      <w:color w:val="0076BE" w:themeColor="accent1"/>
      <w:sz w:val="24"/>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eastAsiaTheme="majorEastAsia"/>
      <w:b/>
      <w:bCs/>
      <w:i/>
      <w:iCs/>
      <w:color w:val="565A5C"/>
      <w:szCs w:val="24"/>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rsid w:val="003C42DB"/>
    <w:pPr>
      <w:ind w:left="720"/>
      <w:contextualSpacing/>
    </w:p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style>
  <w:style w:type="paragraph" w:customStyle="1" w:styleId="CalloutBoxhead">
    <w:name w:val="Callout Box head"/>
    <w:basedOn w:val="Normal"/>
    <w:rsid w:val="002331A0"/>
  </w:style>
  <w:style w:type="paragraph" w:styleId="Footer">
    <w:name w:val="footer"/>
    <w:basedOn w:val="Normal"/>
    <w:link w:val="FooterChar"/>
    <w:uiPriority w:val="99"/>
    <w:unhideWhenUsed/>
    <w:rsid w:val="003C42DB"/>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i/>
      <w:iCs/>
      <w:color w:val="0076BE"/>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character" w:styleId="Hyperlink">
    <w:name w:val="Hyperlink"/>
    <w:basedOn w:val="DefaultParagraphFont"/>
    <w:uiPriority w:val="99"/>
    <w:unhideWhenUsed/>
    <w:rsid w:val="00EA1424"/>
    <w:rPr>
      <w:color w:val="004280" w:themeColor="hyperlink"/>
      <w:u w:val="single"/>
    </w:rPr>
  </w:style>
  <w:style w:type="character" w:styleId="UnresolvedMention">
    <w:name w:val="Unresolved Mention"/>
    <w:basedOn w:val="DefaultParagraphFont"/>
    <w:uiPriority w:val="99"/>
    <w:semiHidden/>
    <w:unhideWhenUsed/>
    <w:rsid w:val="00EA1424"/>
    <w:rPr>
      <w:color w:val="605E5C"/>
      <w:shd w:val="clear" w:color="auto" w:fill="E1DFDD"/>
    </w:rPr>
  </w:style>
  <w:style w:type="character" w:styleId="CommentReference">
    <w:name w:val="annotation reference"/>
    <w:basedOn w:val="DefaultParagraphFont"/>
    <w:uiPriority w:val="99"/>
    <w:semiHidden/>
    <w:unhideWhenUsed/>
    <w:rsid w:val="00820A9A"/>
    <w:rPr>
      <w:sz w:val="16"/>
      <w:szCs w:val="16"/>
    </w:rPr>
  </w:style>
  <w:style w:type="paragraph" w:styleId="CommentText">
    <w:name w:val="annotation text"/>
    <w:basedOn w:val="Normal"/>
    <w:link w:val="CommentTextChar"/>
    <w:uiPriority w:val="99"/>
    <w:semiHidden/>
    <w:unhideWhenUsed/>
    <w:rsid w:val="00820A9A"/>
    <w:rPr>
      <w:sz w:val="20"/>
      <w:szCs w:val="20"/>
    </w:rPr>
  </w:style>
  <w:style w:type="character" w:customStyle="1" w:styleId="CommentTextChar">
    <w:name w:val="Comment Text Char"/>
    <w:basedOn w:val="DefaultParagraphFont"/>
    <w:link w:val="CommentText"/>
    <w:uiPriority w:val="99"/>
    <w:semiHidden/>
    <w:rsid w:val="00820A9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20A9A"/>
    <w:rPr>
      <w:b/>
      <w:bCs/>
    </w:rPr>
  </w:style>
  <w:style w:type="character" w:customStyle="1" w:styleId="CommentSubjectChar">
    <w:name w:val="Comment Subject Char"/>
    <w:basedOn w:val="CommentTextChar"/>
    <w:link w:val="CommentSubject"/>
    <w:uiPriority w:val="99"/>
    <w:semiHidden/>
    <w:rsid w:val="00820A9A"/>
    <w:rPr>
      <w:rFonts w:ascii="Arial" w:hAnsi="Arial" w:cs="Arial"/>
      <w:b/>
      <w:bCs/>
      <w:sz w:val="20"/>
      <w:szCs w:val="20"/>
    </w:rPr>
  </w:style>
  <w:style w:type="paragraph" w:styleId="BalloonText">
    <w:name w:val="Balloon Text"/>
    <w:basedOn w:val="Normal"/>
    <w:link w:val="BalloonTextChar"/>
    <w:uiPriority w:val="99"/>
    <w:semiHidden/>
    <w:unhideWhenUsed/>
    <w:rsid w:val="0082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9A"/>
    <w:rPr>
      <w:rFonts w:ascii="Segoe UI" w:hAnsi="Segoe UI" w:cs="Segoe UI"/>
      <w:sz w:val="18"/>
      <w:szCs w:val="18"/>
    </w:rPr>
  </w:style>
  <w:style w:type="character" w:styleId="FollowedHyperlink">
    <w:name w:val="FollowedHyperlink"/>
    <w:basedOn w:val="DefaultParagraphFont"/>
    <w:uiPriority w:val="99"/>
    <w:semiHidden/>
    <w:unhideWhenUsed/>
    <w:rsid w:val="00C21340"/>
    <w:rPr>
      <w:color w:val="0076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telle.org/site/disclosur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attelle.org/docs/default-source/privacy-policies-disclosures/battelle_2015ppd_faqs_phsfcoi.pdf?sfvrsn=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ttelle.org/docs/default-source/privacy-policies-disclosures/battelle-2015-privacy-reg-users-citi-training.pdf?sfvrsn=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telle.org/docs/default-source/privacy-policies-disclosures/battelle_2015ppd_policy_on_financial_conflicts2.pdf?sfvrsn=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ttelle.org/docs/default-source/privacy-policies-disclosures/battelle-2015-privacy-new-users-citi-training.pdf?sfvrsn=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out.citiprogram.org/en/homep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s xmlns="eff24bd8-0971-442c-8d07-8938bacad241">Standard body copy font default is Arial, size 11. To modify title, sub-title or bullet points, select from Styles marked “branded” in Word Toolbar.
NOTE: When you open this document, open the "Read Only" version, select "File" and then select "Save As" and save it to your computer. The "Check Out" or "Edit Document" links will not work. </Tips>
    <Display_x0020_Category xmlns="eff24bd8-0971-442c-8d07-8938bacad241">Document</Display_x0020_Category>
    <Thumbnail xmlns="eff24bd8-0971-442c-8d07-8938bacad241">
      <Url>http://my.battelle.org/sites/1204/PublishingImages/CorpLetterPic.JPG</Url>
      <Description xsi:nil="true"/>
    </Thumbnai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60A9A06E5FED44AC1CDEEE45A76310" ma:contentTypeVersion="4" ma:contentTypeDescription="Create a new document." ma:contentTypeScope="" ma:versionID="074ba561a83d5d4641addf53e66ba534">
  <xsd:schema xmlns:xsd="http://www.w3.org/2001/XMLSchema" xmlns:xs="http://www.w3.org/2001/XMLSchema" xmlns:p="http://schemas.microsoft.com/office/2006/metadata/properties" xmlns:ns1="eff24bd8-0971-442c-8d07-8938bacad241" targetNamespace="http://schemas.microsoft.com/office/2006/metadata/properties" ma:root="true" ma:fieldsID="b1ab2b088810cb506e54576bc1f030ea" ns1:_="">
    <xsd:import namespace="eff24bd8-0971-442c-8d07-8938bacad241"/>
    <xsd:element name="properties">
      <xsd:complexType>
        <xsd:sequence>
          <xsd:element name="documentManagement">
            <xsd:complexType>
              <xsd:all>
                <xsd:element ref="ns1:Thumbnail" minOccurs="0"/>
                <xsd:element ref="ns1:Tips" minOccurs="0"/>
                <xsd:element ref="ns1:Displa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4bd8-0971-442c-8d07-8938bacad241" elementFormDefault="qualified">
    <xsd:import namespace="http://schemas.microsoft.com/office/2006/documentManagement/types"/>
    <xsd:import namespace="http://schemas.microsoft.com/office/infopath/2007/PartnerControls"/>
    <xsd:element name="Thumbnail" ma:index="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Tips" ma:index="3" nillable="true" ma:displayName="Tips" ma:internalName="Tips">
      <xsd:simpleType>
        <xsd:restriction base="dms:Note"/>
      </xsd:simpleType>
    </xsd:element>
    <xsd:element name="Display_x0020_Category" ma:index="10" nillable="true" ma:displayName="Display Category" ma:default="Presentation" ma:format="RadioButtons" ma:internalName="Display_x0020_Category">
      <xsd:simpleType>
        <xsd:restriction base="dms:Choice">
          <xsd:enumeration value="Presentation"/>
          <xsd:enumeration value="Document"/>
          <xsd:enumeration value="Other"/>
          <xsd:enumeration value="Technical Poster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eff24bd8-0971-442c-8d07-8938bacad241"/>
  </ds:schemaRefs>
</ds:datastoreItem>
</file>

<file path=customXml/itemProps3.xml><?xml version="1.0" encoding="utf-8"?>
<ds:datastoreItem xmlns:ds="http://schemas.openxmlformats.org/officeDocument/2006/customXml" ds:itemID="{39C8F82A-659A-4075-B06D-D3B3CD4B5736}">
  <ds:schemaRefs>
    <ds:schemaRef ds:uri="http://schemas.openxmlformats.org/officeDocument/2006/bibliography"/>
  </ds:schemaRefs>
</ds:datastoreItem>
</file>

<file path=customXml/itemProps4.xml><?xml version="1.0" encoding="utf-8"?>
<ds:datastoreItem xmlns:ds="http://schemas.openxmlformats.org/officeDocument/2006/customXml" ds:itemID="{9F2E050C-D180-437F-B807-DB2F22BE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4bd8-0971-442c-8d07-8938baca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dingess</dc:creator>
  <cp:keywords/>
  <dc:description/>
  <cp:lastModifiedBy>Sapp, Gary (US)</cp:lastModifiedBy>
  <cp:revision>2</cp:revision>
  <cp:lastPrinted>2014-03-11T12:38:00Z</cp:lastPrinted>
  <dcterms:created xsi:type="dcterms:W3CDTF">2022-08-22T11:09:00Z</dcterms:created>
  <dcterms:modified xsi:type="dcterms:W3CDTF">2022-08-22T11:09:00Z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0x010100ED60A9A06E5FED44AC1CDEEE45A76310</vt:lpwstr>
  </property>
</Properties>
</file>